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278A" w14:textId="77777777" w:rsidR="001F5DB0" w:rsidRDefault="002B1DD0">
      <w:pPr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Lesson Review </w:t>
      </w:r>
      <w:r>
        <w:rPr>
          <w:rFonts w:ascii="Century Gothic" w:eastAsia="Century Gothic" w:hAnsi="Century Gothic" w:cs="Century Gothic"/>
          <w:b/>
          <w:i/>
          <w:color w:val="7030A0"/>
          <w:sz w:val="32"/>
          <w:szCs w:val="32"/>
        </w:rPr>
        <w:t>Suggestions</w:t>
      </w: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to Provide Purposeful Feedback</w:t>
      </w:r>
      <w:r>
        <w:rPr>
          <w:rFonts w:ascii="Century Gothic" w:eastAsia="Century Gothic" w:hAnsi="Century Gothic" w:cs="Century Gothic"/>
          <w:b/>
          <w:sz w:val="32"/>
          <w:szCs w:val="32"/>
        </w:rPr>
        <w:tab/>
      </w:r>
      <w:r>
        <w:rPr>
          <w:rFonts w:ascii="Century Gothic" w:eastAsia="Century Gothic" w:hAnsi="Century Gothic" w:cs="Century Gothic"/>
          <w:b/>
          <w:sz w:val="32"/>
          <w:szCs w:val="32"/>
        </w:rPr>
        <w:tab/>
      </w:r>
      <w:r>
        <w:rPr>
          <w:rFonts w:ascii="Century Gothic" w:eastAsia="Century Gothic" w:hAnsi="Century Gothic" w:cs="Century Gothic"/>
          <w:b/>
          <w:sz w:val="32"/>
          <w:szCs w:val="32"/>
        </w:rPr>
        <w:tab/>
      </w:r>
      <w:r>
        <w:rPr>
          <w:rFonts w:ascii="Century Gothic" w:eastAsia="Century Gothic" w:hAnsi="Century Gothic" w:cs="Century Gothic"/>
          <w:b/>
          <w:sz w:val="32"/>
          <w:szCs w:val="32"/>
        </w:rPr>
        <w:tab/>
      </w:r>
      <w:r>
        <w:rPr>
          <w:rFonts w:ascii="Century Gothic" w:eastAsia="Century Gothic" w:hAnsi="Century Gothic" w:cs="Century Gothic"/>
          <w:b/>
          <w:sz w:val="32"/>
          <w:szCs w:val="32"/>
        </w:rPr>
        <w:tab/>
      </w:r>
      <w:r>
        <w:rPr>
          <w:rFonts w:ascii="Century Gothic" w:eastAsia="Century Gothic" w:hAnsi="Century Gothic" w:cs="Century Gothic"/>
          <w:b/>
          <w:sz w:val="32"/>
          <w:szCs w:val="32"/>
        </w:rPr>
        <w:tab/>
      </w:r>
      <w:r>
        <w:rPr>
          <w:rFonts w:ascii="Century Gothic" w:eastAsia="Century Gothic" w:hAnsi="Century Gothic" w:cs="Century Gothic"/>
          <w:b/>
          <w:color w:val="0432FF"/>
          <w:sz w:val="32"/>
          <w:szCs w:val="32"/>
        </w:rPr>
        <w:t>DRAFT</w:t>
      </w:r>
    </w:p>
    <w:tbl>
      <w:tblPr>
        <w:tblStyle w:val="a"/>
        <w:tblW w:w="1438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0"/>
        <w:gridCol w:w="465"/>
        <w:gridCol w:w="540"/>
        <w:gridCol w:w="465"/>
        <w:gridCol w:w="4485"/>
      </w:tblGrid>
      <w:tr w:rsidR="001F5DB0" w14:paraId="2C79993E" w14:textId="77777777">
        <w:tc>
          <w:tcPr>
            <w:tcW w:w="8430" w:type="dxa"/>
            <w:shd w:val="clear" w:color="auto" w:fill="F2F2F2"/>
            <w:vAlign w:val="center"/>
          </w:tcPr>
          <w:p w14:paraId="19A3A663" w14:textId="77777777" w:rsidR="001F5DB0" w:rsidRDefault="002B1DD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Indicator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32E1DB" w14:textId="77777777" w:rsidR="001F5DB0" w:rsidRDefault="002B1DD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+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90F69BF" w14:textId="77777777" w:rsidR="001F5DB0" w:rsidRDefault="002B1DD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F58A066" w14:textId="77777777" w:rsidR="001F5DB0" w:rsidRDefault="002B1DD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?</w:t>
            </w:r>
          </w:p>
        </w:tc>
        <w:tc>
          <w:tcPr>
            <w:tcW w:w="4485" w:type="dxa"/>
            <w:shd w:val="clear" w:color="auto" w:fill="F2F2F2"/>
            <w:vAlign w:val="center"/>
          </w:tcPr>
          <w:p w14:paraId="460E44FE" w14:textId="77777777" w:rsidR="001F5DB0" w:rsidRDefault="002B1DD0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Notes</w:t>
            </w:r>
          </w:p>
        </w:tc>
      </w:tr>
      <w:tr w:rsidR="001F5DB0" w14:paraId="54F73F09" w14:textId="77777777">
        <w:tc>
          <w:tcPr>
            <w:tcW w:w="8430" w:type="dxa"/>
          </w:tcPr>
          <w:p w14:paraId="4FF8B89D" w14:textId="77777777" w:rsidR="001F5DB0" w:rsidRDefault="002B1DD0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lesson focus reflects unpacked standard(s).                               Lesson components include:</w:t>
            </w:r>
          </w:p>
        </w:tc>
        <w:tc>
          <w:tcPr>
            <w:tcW w:w="465" w:type="dxa"/>
          </w:tcPr>
          <w:p w14:paraId="13CF37C1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0F9A9CFD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65" w:type="dxa"/>
          </w:tcPr>
          <w:p w14:paraId="39856064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485" w:type="dxa"/>
          </w:tcPr>
          <w:p w14:paraId="4CCFA4EF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1F5DB0" w14:paraId="489C079F" w14:textId="77777777">
        <w:tc>
          <w:tcPr>
            <w:tcW w:w="8430" w:type="dxa"/>
          </w:tcPr>
          <w:p w14:paraId="2C3A30C9" w14:textId="77777777" w:rsidR="001F5DB0" w:rsidRDefault="002B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4" w:hanging="270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checking for/ building background knowledge prior to new learning </w:t>
            </w:r>
          </w:p>
        </w:tc>
        <w:tc>
          <w:tcPr>
            <w:tcW w:w="465" w:type="dxa"/>
          </w:tcPr>
          <w:p w14:paraId="4F6E53CE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5691D5EF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65" w:type="dxa"/>
          </w:tcPr>
          <w:p w14:paraId="33C91255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485" w:type="dxa"/>
          </w:tcPr>
          <w:p w14:paraId="43D11EEB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1F5DB0" w14:paraId="3DB86E58" w14:textId="77777777">
        <w:tc>
          <w:tcPr>
            <w:tcW w:w="8430" w:type="dxa"/>
          </w:tcPr>
          <w:p w14:paraId="24DD27F8" w14:textId="77777777" w:rsidR="001F5DB0" w:rsidRDefault="002B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4" w:hanging="270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clear objective aligned to the unpacked standard that will be shared with students and used for refocusing and reflection</w:t>
            </w:r>
          </w:p>
        </w:tc>
        <w:tc>
          <w:tcPr>
            <w:tcW w:w="465" w:type="dxa"/>
          </w:tcPr>
          <w:p w14:paraId="53531A54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3625DC10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65" w:type="dxa"/>
          </w:tcPr>
          <w:p w14:paraId="65781998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485" w:type="dxa"/>
          </w:tcPr>
          <w:p w14:paraId="4B7AB682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1F5DB0" w14:paraId="1A0DCB2D" w14:textId="77777777">
        <w:tc>
          <w:tcPr>
            <w:tcW w:w="8430" w:type="dxa"/>
          </w:tcPr>
          <w:p w14:paraId="676E0CFE" w14:textId="77777777" w:rsidR="001F5DB0" w:rsidRDefault="002B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4" w:hanging="270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integration of essential vocabulary that fosters each student describing, applying, and writing accurately with the terminology</w:t>
            </w:r>
          </w:p>
        </w:tc>
        <w:tc>
          <w:tcPr>
            <w:tcW w:w="465" w:type="dxa"/>
          </w:tcPr>
          <w:p w14:paraId="03F5631D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77E80628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65" w:type="dxa"/>
          </w:tcPr>
          <w:p w14:paraId="1B411655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485" w:type="dxa"/>
          </w:tcPr>
          <w:p w14:paraId="2B0280A4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1F5DB0" w14:paraId="5AE88AFF" w14:textId="77777777">
        <w:tc>
          <w:tcPr>
            <w:tcW w:w="8430" w:type="dxa"/>
          </w:tcPr>
          <w:p w14:paraId="1E384EA6" w14:textId="77777777" w:rsidR="001F5DB0" w:rsidRDefault="002B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4" w:hanging="270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open-ended questions and second questions that guide students to develop conceptual understandings rather than being ‘told’</w:t>
            </w:r>
          </w:p>
        </w:tc>
        <w:tc>
          <w:tcPr>
            <w:tcW w:w="465" w:type="dxa"/>
          </w:tcPr>
          <w:p w14:paraId="712DECDA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09E44A08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65" w:type="dxa"/>
          </w:tcPr>
          <w:p w14:paraId="15F8B880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485" w:type="dxa"/>
          </w:tcPr>
          <w:p w14:paraId="01CAC4B2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1F5DB0" w14:paraId="76997345" w14:textId="77777777">
        <w:tc>
          <w:tcPr>
            <w:tcW w:w="8430" w:type="dxa"/>
          </w:tcPr>
          <w:p w14:paraId="26294A88" w14:textId="77777777" w:rsidR="001F5DB0" w:rsidRDefault="002B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4" w:hanging="270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evidence of moving students from concrete discovery to representational expression to abstract synthesizing</w:t>
            </w:r>
          </w:p>
        </w:tc>
        <w:tc>
          <w:tcPr>
            <w:tcW w:w="465" w:type="dxa"/>
          </w:tcPr>
          <w:p w14:paraId="191D117C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0B347FDE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65" w:type="dxa"/>
          </w:tcPr>
          <w:p w14:paraId="781A1580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485" w:type="dxa"/>
          </w:tcPr>
          <w:p w14:paraId="1BB7D600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1F5DB0" w14:paraId="33E43FCF" w14:textId="77777777">
        <w:tc>
          <w:tcPr>
            <w:tcW w:w="8430" w:type="dxa"/>
          </w:tcPr>
          <w:p w14:paraId="77E823E3" w14:textId="77777777" w:rsidR="001F5DB0" w:rsidRDefault="002B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4" w:hanging="270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interactive notes for archiving that include an exemplar and sufficient practice for pairs and individuals *resource alert: (consider developing a bank of ‘cousin items’)</w:t>
            </w:r>
          </w:p>
        </w:tc>
        <w:tc>
          <w:tcPr>
            <w:tcW w:w="465" w:type="dxa"/>
          </w:tcPr>
          <w:p w14:paraId="1FB5A531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68F07AB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65" w:type="dxa"/>
          </w:tcPr>
          <w:p w14:paraId="0825EDD0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485" w:type="dxa"/>
          </w:tcPr>
          <w:p w14:paraId="3220EB00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1F5DB0" w14:paraId="3D88139B" w14:textId="77777777">
        <w:tc>
          <w:tcPr>
            <w:tcW w:w="8430" w:type="dxa"/>
          </w:tcPr>
          <w:p w14:paraId="5670B5C0" w14:textId="77777777" w:rsidR="001F5DB0" w:rsidRDefault="002B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4" w:hanging="270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collaboratively develop with students an ‘Anchor Chart’ that clarifies essential understandings in an ‘eye-catching’ display</w:t>
            </w:r>
          </w:p>
        </w:tc>
        <w:tc>
          <w:tcPr>
            <w:tcW w:w="465" w:type="dxa"/>
          </w:tcPr>
          <w:p w14:paraId="3CF96084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45F872A8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65" w:type="dxa"/>
          </w:tcPr>
          <w:p w14:paraId="6753748A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485" w:type="dxa"/>
          </w:tcPr>
          <w:p w14:paraId="07AAC65A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1F5DB0" w14:paraId="3915A495" w14:textId="77777777">
        <w:tc>
          <w:tcPr>
            <w:tcW w:w="8430" w:type="dxa"/>
          </w:tcPr>
          <w:p w14:paraId="286501E5" w14:textId="77777777" w:rsidR="001F5DB0" w:rsidRDefault="002B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4" w:hanging="270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multiple checks along-the-way to encourage each student to try, inform teacher (in-the-minute) instructional decisions, and fa</w:t>
            </w:r>
            <w:r>
              <w:rPr>
                <w:rFonts w:ascii="Century Gothic" w:eastAsia="Century Gothic" w:hAnsi="Century Gothic" w:cs="Century Gothic"/>
                <w:color w:val="000000"/>
              </w:rPr>
              <w:t>cilitate student reflection</w:t>
            </w:r>
          </w:p>
        </w:tc>
        <w:tc>
          <w:tcPr>
            <w:tcW w:w="465" w:type="dxa"/>
          </w:tcPr>
          <w:p w14:paraId="460666D6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7EA405DE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65" w:type="dxa"/>
          </w:tcPr>
          <w:p w14:paraId="75820597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485" w:type="dxa"/>
          </w:tcPr>
          <w:p w14:paraId="181D5A15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1F5DB0" w14:paraId="0089C267" w14:textId="77777777">
        <w:tc>
          <w:tcPr>
            <w:tcW w:w="8430" w:type="dxa"/>
          </w:tcPr>
          <w:p w14:paraId="0E57B083" w14:textId="77777777" w:rsidR="001F5DB0" w:rsidRDefault="002B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4" w:hanging="270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sufficient time for each student to summarize what was understood and what requires spiraling</w:t>
            </w:r>
          </w:p>
        </w:tc>
        <w:tc>
          <w:tcPr>
            <w:tcW w:w="465" w:type="dxa"/>
          </w:tcPr>
          <w:p w14:paraId="551B56E6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4E19012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65" w:type="dxa"/>
          </w:tcPr>
          <w:p w14:paraId="2C60C633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485" w:type="dxa"/>
          </w:tcPr>
          <w:p w14:paraId="17A06D32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1F5DB0" w14:paraId="2918DA30" w14:textId="77777777">
        <w:tc>
          <w:tcPr>
            <w:tcW w:w="8430" w:type="dxa"/>
          </w:tcPr>
          <w:p w14:paraId="3FF3957A" w14:textId="77777777" w:rsidR="001F5DB0" w:rsidRDefault="002B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4" w:hanging="270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data-driven small group work to move students from ‘where they are’ to emerging, developing, proficient, distinguished</w:t>
            </w:r>
          </w:p>
        </w:tc>
        <w:tc>
          <w:tcPr>
            <w:tcW w:w="465" w:type="dxa"/>
          </w:tcPr>
          <w:p w14:paraId="7EBA3BAA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498FE5F6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65" w:type="dxa"/>
          </w:tcPr>
          <w:p w14:paraId="3075FC4A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485" w:type="dxa"/>
          </w:tcPr>
          <w:p w14:paraId="395C6844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1F5DB0" w14:paraId="0ACC1794" w14:textId="77777777">
        <w:tc>
          <w:tcPr>
            <w:tcW w:w="8430" w:type="dxa"/>
          </w:tcPr>
          <w:p w14:paraId="397722FA" w14:textId="77777777" w:rsidR="001F5DB0" w:rsidRDefault="002B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4" w:hanging="270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student engagement that involves opportunities for equal participation (ep), reasoning (r), communicating(c), critical thinking (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ct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), collaboration (co), making conceptual connections (cc); and creativity (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cr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)</w:t>
            </w:r>
          </w:p>
        </w:tc>
        <w:tc>
          <w:tcPr>
            <w:tcW w:w="465" w:type="dxa"/>
          </w:tcPr>
          <w:p w14:paraId="2A85ABDC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651EE4FF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65" w:type="dxa"/>
          </w:tcPr>
          <w:p w14:paraId="6D43EED0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4485" w:type="dxa"/>
          </w:tcPr>
          <w:p w14:paraId="622D9C25" w14:textId="77777777" w:rsidR="001F5DB0" w:rsidRDefault="001F5DB0">
            <w:pP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</w:tbl>
    <w:p w14:paraId="52B13DF7" w14:textId="77777777" w:rsidR="001F5DB0" w:rsidRDefault="002B1DD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Possible resources include but not limite</w:t>
      </w:r>
      <w:r>
        <w:rPr>
          <w:rFonts w:ascii="Century Gothic" w:eastAsia="Century Gothic" w:hAnsi="Century Gothic" w:cs="Century Gothic"/>
        </w:rPr>
        <w:t xml:space="preserve">d to: </w:t>
      </w:r>
    </w:p>
    <w:p w14:paraId="74A30538" w14:textId="77777777" w:rsidR="001F5DB0" w:rsidRDefault="001F5DB0">
      <w:pPr>
        <w:rPr>
          <w:rFonts w:ascii="Century Gothic" w:eastAsia="Century Gothic" w:hAnsi="Century Gothic" w:cs="Century Gothic"/>
          <w:sz w:val="8"/>
          <w:szCs w:val="8"/>
        </w:rPr>
      </w:pPr>
    </w:p>
    <w:p w14:paraId="2D0C230A" w14:textId="7D622588" w:rsidR="001F5DB0" w:rsidRDefault="002B1DD0">
      <w:pPr>
        <w:jc w:val="right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sz w:val="15"/>
          <w:szCs w:val="15"/>
        </w:rPr>
        <w:t>What instructional practices will produce our best results?</w:t>
      </w:r>
    </w:p>
    <w:sectPr w:rsidR="001F5DB0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E2474"/>
    <w:multiLevelType w:val="multilevel"/>
    <w:tmpl w:val="61CC580A"/>
    <w:lvl w:ilvl="0">
      <w:start w:val="1"/>
      <w:numFmt w:val="lowerLetter"/>
      <w:lvlText w:val="%1."/>
      <w:lvlJc w:val="left"/>
      <w:pPr>
        <w:ind w:left="974" w:hanging="360"/>
      </w:pPr>
      <w:rPr>
        <w:rFonts w:ascii="Century Gothic" w:eastAsia="Century Gothic" w:hAnsi="Century Gothic" w:cs="Century Gothic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94" w:hanging="360"/>
      </w:pPr>
    </w:lvl>
    <w:lvl w:ilvl="2">
      <w:start w:val="1"/>
      <w:numFmt w:val="lowerRoman"/>
      <w:lvlText w:val="%3."/>
      <w:lvlJc w:val="right"/>
      <w:pPr>
        <w:ind w:left="2414" w:hanging="180"/>
      </w:pPr>
    </w:lvl>
    <w:lvl w:ilvl="3">
      <w:start w:val="1"/>
      <w:numFmt w:val="decimal"/>
      <w:lvlText w:val="%4."/>
      <w:lvlJc w:val="left"/>
      <w:pPr>
        <w:ind w:left="3134" w:hanging="360"/>
      </w:pPr>
    </w:lvl>
    <w:lvl w:ilvl="4">
      <w:start w:val="1"/>
      <w:numFmt w:val="lowerLetter"/>
      <w:lvlText w:val="%5."/>
      <w:lvlJc w:val="left"/>
      <w:pPr>
        <w:ind w:left="3854" w:hanging="360"/>
      </w:pPr>
    </w:lvl>
    <w:lvl w:ilvl="5">
      <w:start w:val="1"/>
      <w:numFmt w:val="lowerRoman"/>
      <w:lvlText w:val="%6."/>
      <w:lvlJc w:val="right"/>
      <w:pPr>
        <w:ind w:left="4574" w:hanging="180"/>
      </w:pPr>
    </w:lvl>
    <w:lvl w:ilvl="6">
      <w:start w:val="1"/>
      <w:numFmt w:val="decimal"/>
      <w:lvlText w:val="%7."/>
      <w:lvlJc w:val="left"/>
      <w:pPr>
        <w:ind w:left="5294" w:hanging="360"/>
      </w:pPr>
    </w:lvl>
    <w:lvl w:ilvl="7">
      <w:start w:val="1"/>
      <w:numFmt w:val="lowerLetter"/>
      <w:lvlText w:val="%8."/>
      <w:lvlJc w:val="left"/>
      <w:pPr>
        <w:ind w:left="6014" w:hanging="360"/>
      </w:pPr>
    </w:lvl>
    <w:lvl w:ilvl="8">
      <w:start w:val="1"/>
      <w:numFmt w:val="lowerRoman"/>
      <w:lvlText w:val="%9."/>
      <w:lvlJc w:val="right"/>
      <w:pPr>
        <w:ind w:left="6734" w:hanging="180"/>
      </w:pPr>
    </w:lvl>
  </w:abstractNum>
  <w:num w:numId="1" w16cid:durableId="107428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B0"/>
    <w:rsid w:val="0011048F"/>
    <w:rsid w:val="00170BDE"/>
    <w:rsid w:val="001F5DB0"/>
    <w:rsid w:val="00247CC4"/>
    <w:rsid w:val="002B1DD0"/>
    <w:rsid w:val="006B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6C8CE"/>
  <w15:docId w15:val="{C9627CFD-19C4-0D4E-8D5F-B585A970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6B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Mulligan</cp:lastModifiedBy>
  <cp:revision>2</cp:revision>
  <cp:lastPrinted>2022-05-18T17:47:00Z</cp:lastPrinted>
  <dcterms:created xsi:type="dcterms:W3CDTF">2022-05-20T21:05:00Z</dcterms:created>
  <dcterms:modified xsi:type="dcterms:W3CDTF">2022-05-20T21:05:00Z</dcterms:modified>
</cp:coreProperties>
</file>